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Pearson correlation, TCGA-LUSC. Lower triangle: r (p); upper triangle: pairwise n. Gene expression as log2(expression + 1). Score: Signature score (ssGSEA) (ssgsea, 11). Not adjusted for multiple comparisons.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70"/>
        <w:gridCol w:w="1737"/>
        <w:gridCol w:w="1101"/>
        <w:gridCol w:w="1101"/>
        <w:gridCol w:w="1128"/>
        <w:gridCol w:w="1101"/>
        <w:gridCol w:w="1168"/>
        <w:gridCol w:w="1168"/>
        <w:gridCol w:w="1168"/>
        <w:gridCol w:w="1128"/>
        <w:gridCol w:w="1128"/>
        <w:gridCol w:w="1128"/>
        <w:gridCol w:w="1128"/>
        <w:gridCol w:w="831"/>
      </w:tblGrid>
      <w:tr>
        <w:trPr>
          <w:trHeight w:val="51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Signature score (ssGSEA)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Pack-years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Age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TP53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CDKN2A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SOX2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PIK3CA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NOTCH1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LOXL2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ITGB1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PLAUR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SNAI1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VEGFC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Signature score (ssGSEA)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488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Pack-years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0.047 (0.336)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413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0.058 (0.202)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0.045 (0.359)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TP53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0.014 (0.762)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-0.008 (0.864)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-0.020 (0.654)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CDKN2A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0.075 (0.097)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-0.072 (0.143)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0.003 (0.940)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-0.040 (0.381)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SOX2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-0.501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-0.054 (0.278)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-0.017 (0.712)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-0.014 (0.751)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0.042 (0.356)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PIK3CA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-0.233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0.014 (0.778)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-0.008 (0.868)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0.044 (0.328)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-0.005 (0.916)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0.574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NOTCH1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-0.077 (0.090)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0.058 (0.237)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-0.005 (0.913)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0.162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-0.028 (0.538)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0.127 (0.005)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0.129 (0.004)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LOXL2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0.845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0.042 (0.394)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0.064 (0.158)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-0.015 (0.745)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0.055 (0.227)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-0.360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-0.127 (0.005)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0.071 (0.116)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ITGB1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0.697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0.040 (0.416)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0.063 (0.163)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-0.022 (0.627)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0.014 (0.752)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-0.426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-0.117 (0.010)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-0.168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0.637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PLAUR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0.789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0.034 (0.496)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0.047 (0.297)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0.009 (0.836)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0.093 (0.041)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-0.400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-0.231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-0.117 (0.010)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0.589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0.474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SNAI1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0.763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0.062 (0.210)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0.038 (0.404)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-0.003 (0.944)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-0.019 (0.670)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-0.412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-0.305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-0.096 (0.035)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0.526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0.370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0.562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</w:tr>
      <w:tr>
        <w:trPr>
          <w:trHeight w:val="50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VEGFC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0.771 (&lt;0.001)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0.003 (0.950)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0.043 (0.343)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0.052 (0.254)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0.063 (0.163)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-0.423 (&lt;0.001)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-0.183 (&lt;0.001)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-0.044 (0.330)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0.545 (&lt;0.001)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0.465 (&lt;0.001)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0.514 (&lt;0.001)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0.539 (&lt;0.001)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2026-10-25T22:35:25Z</dcterms:modified>
  <cp:category/>
</cp:coreProperties>
</file>