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Spearman correlation, TCGA-LUSC. Lower triangle: r (p); upper triangle: pairwise n. Gene expression as log2(expression + 1). Score: Signature score (ssGSEA) (ssgsea, 11).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737"/>
        <w:gridCol w:w="1101"/>
        <w:gridCol w:w="1101"/>
        <w:gridCol w:w="1101"/>
        <w:gridCol w:w="1101"/>
        <w:gridCol w:w="1168"/>
        <w:gridCol w:w="1168"/>
        <w:gridCol w:w="1168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 (0.631)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413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0.092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 (0.740)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-0.039 (0.389)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-0.007 (0.880)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 (0.267)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-0.001 (0.979)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 (0.858)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-0.021 (0.643)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-0.551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 (0.813)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-0.090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 (0.366)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 (0.526)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-0.236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 (0.645)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-0.054 (0.234)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0.052 (0.252)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-0.011 (0.805)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-0.084 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 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-0.017 (0.706)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0.124 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-0.025 (0.582)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0.137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0.136 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 (0.399)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0.066 (0.147)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-0.046 (0.311)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 (0.444)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-0.428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-0.126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0.036 (0.462)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0.099 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-0.036 (0.431)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-0.004 (0.929)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-0.482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-0.010 (0.839)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0.080 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-0.060 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0.073 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-0.460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-0.222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-0.144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0.481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0.764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 (0.934)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0.068 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-0.060 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-0.044 (0.332)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-0.447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-0.304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-0.104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487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-0.006 (0.900)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 (0.097)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 (0.698)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 (0.309)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-0.412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-0.181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(0.680)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0.574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0.479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0.527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2026-10-25T22:35:27Z</dcterms:modified>
  <cp:category/>
</cp:coreProperties>
</file>