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Overall survival, multivariable Cox regression, TCGA-LUSC. Signature score (ssGSEA) group: High vs Low (median split). All variables in one model, complete cases: n = 410, events = 182, EPV = 36.4.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90"/>
        <w:gridCol w:w="2765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Signature score (ssGSEA) group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1.47 (1.09–1.97)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1.32 (0.96–1.81)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 (0.56–1.11)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Pack-years (per 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 (0.95–1.04)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1.46 (1.02–2.08)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2026-10-25T22:35:30Z</dcterms:modified>
  <cp:category/>
</cp:coreProperties>
</file>