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multivariable Cox regression, TCGA-LUSC. Signature score (ssGSEA) group: High vs Low (median split). All variables in one model, complete cases: n = 318, events = 84, EPV = 16.8.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76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(0.94–2.28)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(0.61–1.52)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 (0.36–1.04)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(0.99–1.11)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 (1.05–3.09)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2026-10-25T22:35:35Z</dcterms:modified>
  <cp:category/>
</cp:coreProperties>
</file>