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sensitivity multivariable Cox regression, TCGA-LUSC. Signature score (ssGSEA) group: High vs Low (median split). Same model without pack-years (per 10) (larger complete-case sample): n = 484, events = 210, EPV = 52.5.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40"/>
        <w:gridCol w:w="2765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without Pack-years (per 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(1.05–1.82)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(0.95–1.70)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(0.59–1.13)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 (1.15–2.20)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2026-10-25T22:35:31Z</dcterms:modified>
  <cp:category/>
</cp:coreProperties>
</file>