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sensitivity multivariable Cox regression, TCGA-LUSC. Signature score (ssGSEA) group: High vs Low (median split). Same model without pack-years (per 10) (larger complete-case sample): n = 376, events = 97, EPV = 24.2.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 (1.03–2.33)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(0.62–1.42)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(0.38–1.01)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(1.25–3.26)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2026-10-25T22:35:36Z</dcterms:modified>
  <cp:category/>
</cp:coreProperties>
</file>