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univariable Cox regression, TCGA-LUSC. Signature score (ssGSEA)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 (1.07–1.85)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(0.95–1.69)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(0.96–1.05)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(1.11–2.10)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2026-10-25T22:35:30Z</dcterms:modified>
  <cp:category/>
</cp:coreProperties>
</file>