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univariable Cox regression, TCGA-LUSC. Signature score (ssGSEA) group: High vs Low (median split). Each variable in its own model; n and events are per model (complete cases).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0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 (0.98–2.17)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(0.65–1.46)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(0.40–1.04)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(1.00–1.12)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 (1.22–3.16)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2026-10-25T22:35:35Z</dcterms:modified>
  <cp:category/>
</cp:coreProperties>
</file>