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Signature score (ssGSEA) tertiles and quartiles (lowest group = reference), TCGA-LUSC. Multivariable models adjusted for age group, years, sex, pack-years (per 10) and pathologic stage group (complete cases). Overall p = likelihood-ratio test.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0"/>
        <w:gridCol w:w="1286"/>
        <w:gridCol w:w="99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Cut-off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Tertile - 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(0.89–1.77)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(1.16–2.26)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Tertile - 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(0.89–1.87)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(1.09–2.26)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Quartile - 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(0.69–1.53)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(0.83–1.82)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 (1.14–2.38)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Quartile - 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(0.65–1.55)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(0.88–2.03)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(1.07–2.40)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2026-10-25T22:35:46Z</dcterms:modified>
  <cp:category/>
</cp:coreProperties>
</file>