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Shapiro–Wilk normality test, TCGA-LUSC (p &lt; 0.05 = non-normal).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0"/>
        <w:gridCol w:w="681"/>
        <w:gridCol w:w="816"/>
        <w:gridCol w:w="917"/>
        <w:gridCol w:w="97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normal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2026-10-25T22:35:27Z</dcterms:modified>
  <cp:category/>
</cp:coreProperties>
</file>