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characteristics by Signature score (ssGSEA) group (High vs Low, median split), TCGA-LUSC. n (% of non-missing). Chi-square test without continuity correction; Fisher's exact test when any expected count &lt; 5. Missing values excluded from percentages and tests.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8"/>
        <w:gridCol w:w="899"/>
        <w:gridCol w:w="1360"/>
        <w:gridCol w:w="1395"/>
        <w:gridCol w:w="1211"/>
        <w:gridCol w:w="771"/>
        <w:gridCol w:w="1279"/>
        <w:gridCol w:w="1180"/>
        <w:gridCol w:w="1293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Low (n = 245)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 (n = 244)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Missing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Expected &lt; 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(43.0%)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 (34.4%)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(38.7%)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362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 (67.2%)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Fisher's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Fisher's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Fisher's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(2.9%)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(1.7%)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2026-10-25T22:35:29Z</dcterms:modified>
  <cp:category/>
</cp:coreProperties>
</file>