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Pearson correlation, TCGA-LUSC. Lower triangle: r (p); upper triangle: pairwise n. Gene expression as log2(expression + 1). Score: Signature score (mean z-score of the 5 genes, .sav). Not adjusted for multiple comparisons.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4"/>
        <w:gridCol w:w="1207"/>
        <w:gridCol w:w="1101"/>
        <w:gridCol w:w="1101"/>
        <w:gridCol w:w="1128"/>
        <w:gridCol w:w="1101"/>
        <w:gridCol w:w="1168"/>
        <w:gridCol w:w="1168"/>
        <w:gridCol w:w="1168"/>
        <w:gridCol w:w="1128"/>
        <w:gridCol w:w="1128"/>
        <w:gridCol w:w="1128"/>
        <w:gridCol w:w="1128"/>
        <w:gridCol w:w="831"/>
      </w:tblGrid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Signature 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Pack-years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CDKN2A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SOX2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PIK3CA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NOTCH1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LOXL2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ITGB1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PLAUR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SNAI1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VEGFC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Signature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Pack-years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0.026 (0.598)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413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0.020 (0.665)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0.045 (0.359)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-0.017 (0.711)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-0.008 (0.864)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-0.020 (0.654)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CDKN2A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0.035 (0.445)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-0.072 (0.143)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 (0.940)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-0.040 (0.381)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SOX2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-0.558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-0.054 (0.278)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-0.017 (0.712)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-0.014 (0.751)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0.042 (0.356)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-0.280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0.014 (0.778)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-0.008 (0.868)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0.044 (0.328)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-0.005 (0.916)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0.574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NOTCH1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-0.114 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0.058 (0.237)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-0.005 (0.913)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0.162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-0.028 (0.538)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0.127 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0.129 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LOXL2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0.730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0.042 (0.394)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0.064 (0.158)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-0.015 (0.745)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0.055 (0.227)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-0.360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-0.127 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0.071 (0.116)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ITGB1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0.720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0.040 (0.416)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0.063 (0.163)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-0.022 (0.627)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0.014 (0.752)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-0.426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-0.117 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-0.168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0.637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PLAUR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0.725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0.034 (0.496)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0.047 (0.297)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0.009 (0.836)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0.093 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-0.400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-0.231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-0.117 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0.589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0.474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SNAI1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0.646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0.062 (0.210)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0.038 (0.404)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-0.003 (0.944)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-0.019 (0.670)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-0.412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-0.305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-0.096 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0.526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0.370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0.562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50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VEGFC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0.717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 (0.950)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0.043 (0.343)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0.052 (0.254)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0.063 (0.163)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-0.423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-0.183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-0.044 (0.330)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0.545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0.465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0.514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0.539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2026-10-25T22:35:04Z</dcterms:modified>
  <cp:category/>
</cp:coreProperties>
</file>