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multivariable Cox regression, TCGA-LUSC. Signature score group: High vs Low (median split). All variables in one model, complete cases: n = 318, events = 84, EPV = 16.8.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1.76 (1.13–2.75)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(0.61–1.51)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(0.35–1.02)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(0.99–1.12)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 (1.08–3.19)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2026-10-25T22:35:14Z</dcterms:modified>
  <cp:category/>
</cp:coreProperties>
</file>