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sensitivity multivariable Cox regression, TCGA-LUSC. Signature score group: High vs Low (median split). Same model without pack-years (per 10) (larger complete-case sample): n = 484, events = 210, EPV = 52.5.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(1.23–2.13)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2026-10-25T22:35:10Z</dcterms:modified>
  <cp:category/>
</cp:coreProperties>
</file>