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sensitivity multivariable Cox regression, TCGA-LUSC. Signature score group: High vs Low (median split). Same model without pack-years (per 10) (larger complete-case sample): n = 376, events = 97, EPV = 24.2.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 (1.22–2.77)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(0.64–1.45)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(0.38–1.00)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 (1.29–3.38)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2026-10-25T22:35:15Z</dcterms:modified>
  <cp:category/>
</cp:coreProperties>
</file>