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Overall survival, multivariable Cox with ESTIMATE tumor purity added, TCGA-LUSC. Complete cases: n = 410, events = 182, EPV = 30.3.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487"/>
        <w:gridCol w:w="2145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Multivariable + tumor purity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Signature score group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1.65 (1.16–2.35)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1.31 (0.95–1.81)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 (0.54–1.09)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Pack-years (per 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0.99 (0.95–1.04)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1.47 (1.03–2.11)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purity (per 10%)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1.01 (0.91–1.12)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2026-10-25T22:35:19Z</dcterms:modified>
  <cp:category/>
</cp:coreProperties>
</file>