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survival, univariable Cox regression, TCGA-LUSC. Signature score group: High vs Low (median split). Each variable in its own model; n and events are per model (complete cases).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60"/>
        <w:gridCol w:w="206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Univariable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1.61 (1.23–2.12)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1.27 (0.95–1.69)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(0.60–1.15)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 (0.96–1.05)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1.53 (1.11–2.10)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2026-10-25T22:35:08Z</dcterms:modified>
  <cp:category/>
</cp:coreProperties>
</file>