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 by Signature score tertiles and quartiles (lowest group = reference), TCGA-LUSC. Multivariable models adjusted for age group, years, sex, pack-years (per 10) and pathologic stage group (complete cases). Overall p = likelihood-ratio test.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0"/>
        <w:gridCol w:w="1286"/>
        <w:gridCol w:w="99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Cut-off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Log-rank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Tertile - 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 (0.76–1.51)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1.50 (1.09–2.08)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Tertile - 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(0.75–1.60)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1.51 (1.06–2.13)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Quartile - 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(0.65–1.47)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1.61 (1.10–2.37)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1.53 (1.05–2.23)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Quartile - 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 (0.66–1.60)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1.74 (1.15–2.64)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1.51 (1.00–2.28)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2026-10-25T22:35:24Z</dcterms:modified>
  <cp:category/>
</cp:coreProperties>
</file>