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Shapiro–Wilk normality test, TCGA-LUSC (p &lt; 0.05 = non-normal).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5"/>
        <w:gridCol w:w="681"/>
        <w:gridCol w:w="816"/>
        <w:gridCol w:w="917"/>
        <w:gridCol w:w="971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normal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NOTCH1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2026-10-25T22:35:06Z</dcterms:modified>
  <cp:category/>
</cp:coreProperties>
</file>