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characteristics by Signature score group (High vs Low, median split), TCGA-LUSC. n (% of non-missing). Chi-square test without continuity correction; Fisher's exact test when any expected count &lt; 5. Missing values excluded from percentages and tests.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8"/>
        <w:gridCol w:w="899"/>
        <w:gridCol w:w="1360"/>
        <w:gridCol w:w="1395"/>
        <w:gridCol w:w="1211"/>
        <w:gridCol w:w="771"/>
        <w:gridCol w:w="1279"/>
        <w:gridCol w:w="1180"/>
        <w:gridCol w:w="1293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 (n = 244)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 (n = 245)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Missing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 &lt; 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 (41.2%)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(36.3%)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(38.7%)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(3.0%)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2026-10-25T22:35:07Z</dcterms:modified>
  <cp:category/>
</cp:coreProperties>
</file>