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5-gene signature (LOXL2, ITGB1, PLAUR, SNAI1, VEGFC) signature score, TCGA-LUSC (all models, all covariate rows)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69"/>
        <w:gridCol w:w="2492"/>
        <w:gridCol w:w="5885"/>
        <w:gridCol w:w="982"/>
        <w:gridCol w:w="621"/>
        <w:gridCol w:w="815"/>
        <w:gridCol w:w="1344"/>
        <w:gridCol w:w="726"/>
        <w:gridCol w:w="974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Overall p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Mean z-score score (High vs Low)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1.45 (1.11–1.91)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Mean z-score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1.18 (1.03–1.34)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Mean z-score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1.16 (1.02–1.31)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1.27 (0.95–1.70)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0.83 (0.60–1.15)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1.57 (1.14–2.17)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Mean z-score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1.22 (1.06–1.41)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1.32 (0.97–1.79)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0.78 (0.56–1.10)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1.66 (1.17–2.36)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PC1 score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1.49 (1.13–1.95)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PC1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1.17 (1.03–1.33)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PC1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1.15 (1.02–1.31)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1.27 (0.95–1.70)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0.83 (0.60–1.15)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1.57 (1.14–2.17)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PC1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1.22 (1.06–1.41)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1.32 (0.97–1.79)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0.78 (0.56–1.10)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1.67 (1.18–2.36)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ssGSEA score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1.41 (1.07–1.85)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ssGSEA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1.22 (1.06–1.39)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ssGSEA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1.20 (1.05–1.37)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1.28 (0.96–1.71)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0.83 (0.60–1.14)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1.56 (1.13–2.16)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ssGSEA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1.26 (1.08–1.46)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1.36 (1.00–1.85)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0.78 (0.56–1.10)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1.65 (1.16–2.34)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singscore score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1.38 (1.05–1.81)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singscore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1.22 (1.06–1.39)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singscore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1.20 (1.05–1.37)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1.28 (0.96–1.71)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0.83 (0.60–1.14)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1.56 (1.13–2.15)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singscore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1.26 (1.08–1.46)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1.36 (1.00–1.85)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0.78 (0.56–1.10)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1.64 (1.16–2.33)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2026-10-25T22:32:22Z</dcterms:modified>
  <cp:category/>
</cp:coreProperties>
</file>