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5-gene signature (LOXL2, ITGB1, PLAUR, SNAI1, VEGFC) signature score (High vs Low, median split), TCGA-LUSC.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5"/>
        <w:gridCol w:w="921"/>
        <w:gridCol w:w="681"/>
        <w:gridCol w:w="931"/>
        <w:gridCol w:w="2716"/>
        <w:gridCol w:w="1955"/>
        <w:gridCol w:w="1955"/>
        <w:gridCol w:w="128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OS,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Log-rank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68.5 (54.4–92.1)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65.3% (58.6–72.8)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54.9% (47.2–63.8)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37.8 (32.0–55.7)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52.3% (45.3–60.4)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38.6% (31.0–48.0)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65.2 (54.4–86.2)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66.8% (60.2–74.2)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54.8% (47.2–63.8)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 (30.8–55.7)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50.8% (43.8–58.9)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38.7% (31.1–48.0)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 (54.4–78.1)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66.6% (60.0–73.9)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52.9% (45.1–61.9)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 (31.6–55.2)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50.8% (43.7–59.0)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40.7% (33.1–49.9)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 (54.4–78.1)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66.2% (59.6–73.6)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52.6% (44.9–61.6)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36.4 (31.6–62.8)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51.2% (44.1–59.4)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41.0% (33.4–50.3)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2026-10-25T22:32:23Z</dcterms:modified>
  <cp:category/>
</cp:coreProperties>
</file>