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5-gene signature (LOXL2, ITGB1, PLAUR, SNAI1, VEGFC) signature score, TCGA-LUSC (investigator-selected a priori (hypothesis-based; not derived from TCGA data)). Primary method: ssGSEA (prespecified). Continuous HRs are per 1 SD of the score within the survival cohort; High vs Low = median split of the score over all scored patients. Multivariable models adjusted for age group, years, sex and pathologic stage group; sensitivity stratified by tss. Time-split HRs (0–24 / &gt;24 months) only when the score term violated proportional hazards. RMST difference = High − Low up to 60 months. Not adjusted together with the gene-level analyses.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69"/>
        <w:gridCol w:w="916"/>
        <w:gridCol w:w="2596"/>
        <w:gridCol w:w="621"/>
        <w:gridCol w:w="815"/>
        <w:gridCol w:w="1344"/>
        <w:gridCol w:w="726"/>
        <w:gridCol w:w="726"/>
        <w:gridCol w:w="1262"/>
        <w:gridCol w:w="1480"/>
        <w:gridCol w:w="1091"/>
        <w:gridCol w:w="3109"/>
        <w:gridCol w:w="9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Primary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(score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(1.07–1.85)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-7.56 (-11.94, -3.19)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1.22 (1.06–1.39)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1.20 (1.05–1.37)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1.26 (1.08–1.46)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1.32 (1.11–1.57)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1.04 (0.84–1.28)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1.45 (1.11–1.91)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-6.95 (-11.32, -2.57)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1.18 (1.03–1.34)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1.16 (1.02–1.31)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1.22 (1.06–1.41)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1.28 (1.08–1.51)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1.01 (0.83–1.24)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1.49 (1.13–1.95)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-7.76 (-12.12, -3.39)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1.17 (1.03–1.33)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1.15 (1.02–1.31)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1.22 (1.06–1.41)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1.27 (1.08–1.50)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1.01 (0.83–1.23)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1.38 (1.05–1.81)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-7.19 (-11.57, -2.80)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1.22 (1.06–1.39)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1.20 (1.05–1.37)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1.26 (1.08–1.46)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1.32 (1.11–1.58)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 (per 1 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1.04 (0.84–1.28)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2026-10-25T22:32:20Z</dcterms:modified>
  <cp:category/>
</cp:coreProperties>
</file>