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[59.5,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(49.8%)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2026-09-28T00:37:32Z</dcterms:modified>
  <cp:category/>
</cp:coreProperties>
</file>