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TP53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67.0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(38.6%)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(39.4%)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(69.9%)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134 (60.9%)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(83.9%)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164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(64.5%)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(65.7%)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(66.0%)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(73.3%)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(79.9%)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162 (93.6%)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 (91.8%)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(87.1%)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(85.3%)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(25.4%)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(50.8%)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2026-09-28T00:37:44Z</dcterms:modified>
  <cp:category/>
</cp:coreProperties>
</file>