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TCGA-COAD cohort (N = 457)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457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(41.7%)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(58.3%)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(52.9%)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(47.1%)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(29.3%)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(17.1%)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268 (58.8%)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(23.2%)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336 (84.0%)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 (56.4%)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(43.6%)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(65.7%)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(60.4%)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(75.9%)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(24.1%)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329 (91.6%)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(7.2%)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389 (86.3%)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(13.7%)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(19.8%)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(24.3%)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(48.2%)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(51.8%)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2026-09-28T00:36:58Z</dcterms:modified>
  <cp:category/>
</cp:coreProperties>
</file>