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BRAF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65.5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[59.0,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64.0 [56.0,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(70.5%)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(87.5%)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(48.0%)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(68.0%)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(50.9%)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(49.1%)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(63.4%)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(70.6%)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(66.0%)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2026-09-28T00:38:10Z</dcterms:modified>
  <cp:category/>
</cp:coreProperties>
</file>