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(79.5%)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(78.1%)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2026-09-28T00:38:25Z</dcterms:modified>
  <cp:category/>
</cp:coreProperties>
</file>