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1.66 (0.91–3.03)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(1.02–1.07)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(0.68–2.14)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(2.05–7.80)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2.08 (1.17–3.71)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2026-09-28T02:35:46Z</dcterms:modified>
  <cp:category/>
</cp:coreProperties>
</file>