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 (0.33–1.04)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(1.01–1.06)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 (0.65–2.03)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4.01 (2.08–7.75)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 (1.20–3.75)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2026-09-28T02:35:48Z</dcterms:modified>
  <cp:category/>
</cp:coreProperties>
</file>