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 (0.34–1.11)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(1.01–1.06)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(0.60–1.92)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4.29 (2.20–8.38)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2.13 (1.20–3.77)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2026-09-28T02:36:00Z</dcterms:modified>
  <cp:category/>
</cp:coreProperties>
</file>