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 (0.74–2.33)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(0.67–2.09)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4.01 (2.05–7.82)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(1.22–3.86)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2026-09-28T02:35:52Z</dcterms:modified>
  <cp:category/>
</cp:coreProperties>
</file>