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 (0.25–0.84)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(1.02–1.07)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 (0.65–2.03)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4.87 (2.49–9.53)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1.93 (1.09–3.43)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2026-09-28T02:35:58Z</dcterms:modified>
  <cp:category/>
</cp:coreProperties>
</file>