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(1.02–1.07)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(0.74–2.41)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3.97 (2.06–7.66)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(1.23–3.87)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2026-09-28T02:35:56Z</dcterms:modified>
  <cp:category/>
</cp:coreProperties>
</file>