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TCGA-COAD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(0.58–1.29)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(0.84–1.23)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1.21 (0.81–1.81)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1.34 (0.93–1.94)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(0.44–0.99)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(0.66–1.13)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(0.69–1.32)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(0.82–1.83)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1.32 (0.93–1.88)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1.75 (1.17–2.63)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1.38 (1.10–1.74)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(0.55–1.22)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(0.74–1.05)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(0.41–0.93)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(0.71–1.10)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 (0.39–0.90)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 (0.87–1.04)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1.02 (1.00–1.03)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 (0.59–1.32)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2.95 (1.92–4.53)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2.80 (1.60–4.92)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2026-09-28T02:36:03Z</dcterms:modified>
  <cp:category/>
</cp:coreProperties>
</file>