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TCGA-COAD. HR from Cox regression; multivariable model adjusted for age (per 10 years), sex, pathologic stage group and pretreatment cea. Sensitivity: stratified by tss. q = Benjamini–Hochberg across exploratory genes only; the primary gene (ROCK2)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(0.41–0.93)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 (0.25–0.84)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(0.22–0.86)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6.02 (1.76, 10.28)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(0.58–1.29)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1.13 (0.64–1.99)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1.22 (0.65–2.32)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1.16 (-3.17, 5.48)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1.66 (0.91–3.03)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1.83 (0.98–3.40)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-2.15 (-6.46, 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 (0.44–0.99)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0.58 (0.33–1.04)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 (0.35–1.27)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3.84 (-0.45, 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1.19 (0.67–2.10)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1.22 (0.66–2.24)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1.29 (-3.00, 5.58)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1.22 (0.82–1.83)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1.31 (0.74–2.33)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1.22 (0.65–2.28)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-1.18 (-5.48, 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1.75 (1.17–2.63)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2.18 (1.20–3.95)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2.11 (1.12–3.96)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-5.81 (-10.10, -1.52)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 (0.35–1.16)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 (0.33–1.19)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1.03 (0.52–2.06)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 (0.03–0.55)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 (-4.11, 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(56.2–NR)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(99.9–NR)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 (0.39–0.90)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0.61 (0.34–1.11)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 (0.36–1.22)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5.10 (0.81, 9.38)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2026-09-28T02:36:01Z</dcterms:modified>
  <cp:category/>
</cp:coreProperties>
</file>