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(81.6%)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(62.0%)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(91.7%)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(93.9%)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186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2026-09-28T00:45:47Z</dcterms:modified>
  <cp:category/>
</cp:coreProperties>
</file>