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KRAS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[58.5,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(92.4%)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(93.1%)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(88.4%)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(84.0%)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(40.8%)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2026-09-28T00:46:03Z</dcterms:modified>
  <cp:category/>
</cp:coreProperties>
</file>