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(91.6%)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(7.2%)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2026-09-28T00:45:00Z</dcterms:modified>
  <cp:category/>
</cp:coreProperties>
</file>