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ROCK2 expression (High vs Low, median split of probe 202762_at within tumors) in GSE39582 (CIT, colon). HR from Cox regression; multivariable models adjusted for age (per 10 years), sex, pathologic stage group and pretreatment cea; '+ MMR status' additionally adjusts for mmr status and '(MMR status known)' is the model without it on the same patients. Interaction p = likelihood-ratio test for ROCK2 group × mmr status. Time-split HRs (0–24 / &gt;24 months, adjusted) are shown only when the gene term violated proportional hazards. RMST difference = High − Low restricted mean survival time up to 60 months. Relapse-free survival excludes stage NaN. Direction compared with the TCGA-COAD multivariable HR 0.46.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726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 (0.63–1.12)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3.08 (0.09, 6.07)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 (0.72–1.06)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 (0.60–1.06)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 (0.59–1.07)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 (0.55–1.02)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0.77 (0.57–1.06)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4.16 (0.61, 7.70)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 (0.60–0.97)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 (0.56–1.05)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 (0.55–0.99)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4.10 (0.25, 7.96)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0.85 (0.70–1.04)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 (0.54–0.97)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 (0.54–0.99)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0.63 (0.46–0.86)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0.62 (0.46–0.85)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7.20 (2.65, 11.75)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 (0.56–0.91)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 (0.48–0.89)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2026-09-28T02:42:24Z</dcterms:modified>
  <cp:category/>
</cp:coreProperties>
</file>