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(0.28–2.68)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(1.03–1.18)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(0.18–2.20)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1.98 (0.59–6.58)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1.42 (0.43–4.72)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2026-09-28T02:36:10Z</dcterms:modified>
  <cp:category/>
</cp:coreProperties>
</file>