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(0.19–1.93)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(1.03–1.18)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(0.18–2.18)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 (0.56–6.48)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1.63 (0.46–5.74)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2026-09-28T02:36:05Z</dcterms:modified>
  <cp:category/>
</cp:coreProperties>
</file>