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 (0.15–1.54)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(1.03–1.18)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(0.18–2.18)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2.08 (0.61–7.09)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1.52 (0.45–5.20)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2026-09-28T02:36:07Z</dcterms:modified>
  <cp:category/>
</cp:coreProperties>
</file>