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 (0.06–0.94)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(1.02–1.17)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(0.21–2.59)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2.41 (0.71–8.20)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(0.54–5.92)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2026-09-28T02:36:14Z</dcterms:modified>
  <cp:category/>
</cp:coreProperties>
</file>