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(0.15–1.82)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(0.20–2.54)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(0.59–6.72)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(0.42–4.64)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2026-09-28T02:36:16Z</dcterms:modified>
  <cp:category/>
</cp:coreProperties>
</file>