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 (0.73–8.08)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(1.03–1.18)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(0.15–1.98)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 (0.55–6.67)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 (0.37–4.53)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2026-09-28T02:36:09Z</dcterms:modified>
  <cp:category/>
</cp:coreProperties>
</file>