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2.4;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(0.31–3.46)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(1.04–1.21)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(0.17–2.38)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 (0.51–6.64)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(0.34–4.47)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2026-09-28T02:36:18Z</dcterms:modified>
  <cp:category/>
</cp:coreProperties>
</file>