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TCGA-READ.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59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78.9% (66.8–93.1)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44.7% (21.3–94.0)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89.7% (82.6–97.4)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56.8% (36.5–88.5)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78.0% (66.4–91.6)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25.9% (6.0–100.0)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91.3% (84.1–99.1)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65.9% (46.3–93.8)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(82.9–98.1)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(68.5–96.2)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80.0% (69.0–92.7)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13.7% (2.4–78.8)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84.5% (74.1–96.4)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15.1% (2.7–86.0)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85.6% (77.0–95.1)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(62.5–92.8)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85.9% (76.4–96.7)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31.3% (7.4–100.0)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84.6% (75.4–94.8)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55.4% (36.1–84.9)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79.8% (68.2–93.4)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33.2% (14.3–77.1)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89.2% (81.9–97.2)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71.6% (54.7–93.7)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(69.4–94.4)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20.3% (4.2–98.6)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90.2% (83.6–97.4)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72.1% (55.0–94.5)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83.5% (74.3–93.8)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53.1% (30.2–93.4)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88.8% (79.5–99.2)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50.8% (29.4–87.9)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81.1% (70.0–94.0)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17.4% (3.3–93.0)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88.5% (80.7–97.1)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69.9% (51.9–94.3)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75.2% (63.1–89.7)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33.3% (15.0–74.1)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93.5% (87.4–100.0)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70.4% (49.2–100.0)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2026-09-28T02:36:24Z</dcterms:modified>
  <cp:category/>
</cp:coreProperties>
</file>