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 (per 10 years), sex, pathologic stage group and pretreatment cea. Sensitivity: stratified by tss. q = Benjamini–Hochberg across exploratory genes only; the primary gene (ROCK2)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 (0.13–2.09)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(0.16–2.61)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 (0.19–1.93)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 (0.14–1.72)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 (0.15–1.54)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 (0.19–1.95)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2.44 (0.73–8.08)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1.93 (0.57–6.54)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2.03 (0.50–8.29)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3.69 (0.42–32.61)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(0.28–2.68)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1.17 (0.34–4.05)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1.36 (0.35–5.24)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 (0.03–2.80)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0.40 (0.11–1.53)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 (0.13–2.00)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 (0.06–0.94)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 (0.03–1.19)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 (0.15–1.82)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 (0.15–1.93)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1.03 (0.31–3.46)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1.04 (0.25–4.37)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 (0.03–0.52)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 (0.02–0.48)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2026-09-28T02:36:24Z</dcterms:modified>
  <cp:category/>
</cp:coreProperties>
</file>