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 Clinical characteristics of TCGA-READ patients by MS4A1 expression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016"/>
        <w:gridCol w:w="2001"/>
        <w:gridCol w:w="2001"/>
        <w:gridCol w:w="2001"/>
        <w:gridCol w:w="1181"/>
      </w:tblGrid>
      <w:tr>
        <w:trPr>
          <w:trHeight w:val="460" w:hRule="auto"/>
          <w:tblHeader/>
        </w:trPr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MS4A1 expression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</w:tr>
      <w:tr>
        <w:trPr>
          <w:trHeight w:val="676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158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79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79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Age, years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66.0 [57.0, 73.0]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65.0 [57.0, 73.0]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66.0 [57.0, 72.0]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0.873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0.473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 (49.7%)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(52.6%)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(46.8%)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(50.3%)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(47.4%)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(53.2%)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0.803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87 (55.4%)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(56.4%)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(54.4%)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 (44.6%)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(43.6%)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(45.6%)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0.913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(19.9%)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(21.3%)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(18.4%)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(32.5%)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(33.3%)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(31.6%)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(31.1%)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(30.7%)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(31.6%)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(16.6%)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(14.7%)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(18.4%)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0.656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(17.3%)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(16.9%)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(17.7%)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107 (68.6%)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 (68.8%)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 (68.4%)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(10.1%)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0.655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 (51.9%)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 (52.6%)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 (51.3%)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(27.9%)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(25.0%)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(30.8%)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(20.1%)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(22.4%)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(17.9%)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0.913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119 (84.4%)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 (84.7%)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 (84.1%)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(15.6%)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(15.3%)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(15.9%)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0.566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(52.3%)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(54.7%)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(50.0%)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 (47.7%)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(45.3%)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(50.0%)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0.456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 (59.4%)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(63.3%)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(56.1%)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(40.6%)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(36.7%)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(43.9%)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Lymphovascular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0.887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 (59.7%)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(59.1%)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(60.3%)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 (40.3%)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(40.9%)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 (39.7%)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0.853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101 (74.3%)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(75.0%)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 (73.6%)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(25.7%)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(25.0%)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(26.4%)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Residual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&gt;0.999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116 (90.6%)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 (90.3%)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(90.9%)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(7.6%)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Histology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0.398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Rectal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138 (91.4%)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 (89.5%)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 (93.3%)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Rectal Mucinous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(10.5%)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0.870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Rectosigmoid Junction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(31.0%)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(29.9%)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(32.1%)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(65.8%)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 (67.5%)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 (64.1%)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Sigmoid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0.476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free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(43.2%)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(46.3%)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 (40.3%)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With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(56.8%)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(53.7%)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(59.7%)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[Q1, Q3]; n (%)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Wilcoxon rank sum test; Pearson's chi-squared test; Fisher's exact test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2026-09-28T00:48:29Z</dcterms:modified>
  <cp:category/>
</cp:coreProperties>
</file>